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7C6055">
      <w:pPr>
        <w:spacing w:line="298" w:lineRule="auto"/>
        <w:rPr>
          <w:rFonts w:ascii="Arial"/>
          <w:sz w:val="21"/>
        </w:rPr>
      </w:pPr>
    </w:p>
    <w:p w14:paraId="5EA3B4BC">
      <w:pPr>
        <w:pStyle w:val="2"/>
        <w:spacing w:before="98" w:line="201" w:lineRule="auto"/>
        <w:ind w:left="46"/>
        <w:rPr>
          <w:rFonts w:hint="default" w:ascii="Constantia" w:hAnsi="Constantia" w:eastAsia="宋体" w:cs="Constantia"/>
          <w:sz w:val="31"/>
          <w:szCs w:val="31"/>
          <w:lang w:val="en-US" w:eastAsia="zh-CN"/>
        </w:rPr>
      </w:pPr>
      <w:r>
        <w:rPr>
          <w:b/>
          <w:bCs/>
          <w:spacing w:val="-4"/>
        </w:rPr>
        <w:t>附件</w:t>
      </w:r>
      <w:r>
        <w:rPr>
          <w:rFonts w:hint="eastAsia"/>
          <w:b/>
          <w:bCs/>
          <w:spacing w:val="-4"/>
          <w:lang w:val="en-US" w:eastAsia="zh-CN"/>
        </w:rPr>
        <w:t xml:space="preserve"> 5</w:t>
      </w:r>
    </w:p>
    <w:p w14:paraId="22BC1923">
      <w:pPr>
        <w:pStyle w:val="2"/>
        <w:spacing w:before="310" w:line="224" w:lineRule="auto"/>
        <w:ind w:left="1457"/>
        <w:outlineLvl w:val="0"/>
      </w:pPr>
      <w:r>
        <w:rPr>
          <w:b/>
          <w:bCs/>
          <w:spacing w:val="13"/>
        </w:rPr>
        <w:t>烟花爆竹经营（零售）单位应具备的安全条件</w:t>
      </w:r>
    </w:p>
    <w:p w14:paraId="56A8994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rightChars="0" w:firstLine="640" w:firstLineChars="200"/>
        <w:textAlignment w:val="baseline"/>
        <w:outlineLvl w:val="1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kern w:val="0"/>
          <w:sz w:val="32"/>
          <w:szCs w:val="32"/>
          <w:lang w:val="en-US" w:eastAsia="en-US" w:bidi="ar-SA"/>
        </w:rPr>
        <w:t>一、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sz w:val="32"/>
          <w:szCs w:val="32"/>
        </w:rPr>
        <w:t>选址符合《陆丰市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sz w:val="32"/>
          <w:szCs w:val="32"/>
          <w:lang w:val="en-US" w:eastAsia="zh-CN"/>
        </w:rPr>
        <w:t>2025年烟花爆竹临时零售经营点布点方案》</w:t>
      </w:r>
      <w:r>
        <w:rPr>
          <w:rFonts w:hint="eastAsia" w:ascii="仿宋_GB2312" w:hAnsi="仿宋_GB2312" w:eastAsia="仿宋_GB2312" w:cs="仿宋_GB2312"/>
          <w:b w:val="0"/>
          <w:bCs w:val="0"/>
          <w:spacing w:val="10"/>
          <w:sz w:val="32"/>
          <w:szCs w:val="32"/>
        </w:rPr>
        <w:t>要求。</w:t>
      </w:r>
    </w:p>
    <w:p w14:paraId="4A55B88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rightChars="0" w:firstLine="668" w:firstLineChars="200"/>
        <w:textAlignment w:val="baseline"/>
        <w:outlineLvl w:val="1"/>
        <w:rPr>
          <w:rFonts w:hint="eastAsia" w:ascii="仿宋_GB2312" w:hAnsi="仿宋_GB2312" w:eastAsia="仿宋_GB2312" w:cs="仿宋_GB2312"/>
          <w:b w:val="0"/>
          <w:bCs w:val="0"/>
          <w:spacing w:val="7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7"/>
          <w:kern w:val="0"/>
          <w:sz w:val="32"/>
          <w:szCs w:val="32"/>
          <w:lang w:val="en-US" w:eastAsia="zh-CN" w:bidi="ar-SA"/>
        </w:rPr>
        <w:t>二、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sz w:val="32"/>
          <w:szCs w:val="32"/>
          <w:lang w:val="en-US" w:eastAsia="zh-CN"/>
        </w:rPr>
        <w:t>选址不应设置在军事管理区、文物保护区、风景名胜区、生态保护区、水源保护区等法律法规以及《陆丰市人民政府关于限制生产、经营、运输、储存和燃放烟花爆竹及禁止生产、经营、运输、储存和燃放孔明灯(许愿灯)的通告》（陆府通〔2024〕1号）规定禁止燃放烟花爆竹的区域内。</w:t>
      </w:r>
    </w:p>
    <w:p w14:paraId="1290344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rightChars="0" w:firstLine="640" w:firstLineChars="200"/>
        <w:textAlignment w:val="baseline"/>
        <w:outlineLvl w:val="1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kern w:val="0"/>
          <w:sz w:val="32"/>
          <w:szCs w:val="32"/>
          <w:lang w:val="en-US" w:eastAsia="en-US" w:bidi="ar-SA"/>
        </w:rPr>
        <w:t>三、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sz w:val="32"/>
          <w:szCs w:val="32"/>
          <w:lang w:val="en-US" w:eastAsia="zh-CN"/>
        </w:rPr>
        <w:t>选址不得将违法建筑、危险建筑、超出批准使用期限的临时建筑、已纳入行政征收范围的建筑、违法用地建设项目内的房屋、未经竣工验收合格的房屋、法律法规上禁止用于经营活动的土地和建筑作为场所。</w:t>
      </w:r>
    </w:p>
    <w:p w14:paraId="2B2F005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firstLine="712" w:firstLineChars="200"/>
        <w:textAlignment w:val="baseline"/>
        <w:outlineLvl w:val="1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8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pacing w:val="18"/>
          <w:sz w:val="32"/>
          <w:szCs w:val="32"/>
        </w:rPr>
        <w:t>、主要负责人应经应急管理部门考核合格，从业人员具备</w:t>
      </w:r>
      <w:r>
        <w:rPr>
          <w:rFonts w:hint="eastAsia" w:ascii="仿宋_GB2312" w:hAnsi="仿宋_GB2312" w:eastAsia="仿宋_GB2312" w:cs="仿宋_GB2312"/>
          <w:b w:val="0"/>
          <w:bCs w:val="0"/>
          <w:spacing w:val="11"/>
          <w:sz w:val="32"/>
          <w:szCs w:val="32"/>
        </w:rPr>
        <w:t>烟花爆竹相关安全知识并持证上岗。</w:t>
      </w:r>
    </w:p>
    <w:p w14:paraId="402ED20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firstLine="708" w:firstLineChars="200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7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pacing w:val="17"/>
          <w:sz w:val="32"/>
          <w:szCs w:val="32"/>
        </w:rPr>
        <w:t>、烟花爆竹经营（零售）场所不得与居民居住场所在同一</w:t>
      </w:r>
      <w:r>
        <w:rPr>
          <w:rFonts w:hint="eastAsia" w:ascii="仿宋_GB2312" w:hAnsi="仿宋_GB2312" w:eastAsia="仿宋_GB2312" w:cs="仿宋_GB2312"/>
          <w:b w:val="0"/>
          <w:bCs w:val="0"/>
          <w:spacing w:val="13"/>
          <w:sz w:val="32"/>
          <w:szCs w:val="32"/>
        </w:rPr>
        <w:t>建筑物内，不应有“下店上宅”“前店后宅”的</w:t>
      </w:r>
      <w:r>
        <w:rPr>
          <w:rFonts w:hint="eastAsia" w:ascii="仿宋_GB2312" w:hAnsi="仿宋_GB2312" w:eastAsia="仿宋_GB2312" w:cs="仿宋_GB2312"/>
          <w:b w:val="0"/>
          <w:bCs w:val="0"/>
          <w:spacing w:val="12"/>
          <w:sz w:val="32"/>
          <w:szCs w:val="32"/>
        </w:rPr>
        <w:t>情形，且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sz w:val="32"/>
          <w:szCs w:val="32"/>
          <w:lang w:val="en-US" w:eastAsia="zh-CN"/>
        </w:rPr>
        <w:t>不应设置在地下及半地下室内、桥下与涵洞内。不应设置在其地下、室内或上方有输送石油、天然气等易燃易爆物质管道的建筑物内。</w:t>
      </w:r>
    </w:p>
    <w:p w14:paraId="7032459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firstLine="676" w:firstLineChars="200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9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 w:val="0"/>
          <w:bCs w:val="0"/>
          <w:spacing w:val="9"/>
          <w:sz w:val="32"/>
          <w:szCs w:val="32"/>
        </w:rPr>
        <w:t>、零售店(点)的使用面积不应小于10m</w:t>
      </w:r>
      <w:r>
        <w:rPr>
          <w:rFonts w:hint="eastAsia" w:ascii="仿宋_GB2312" w:hAnsi="仿宋_GB2312" w:eastAsia="仿宋_GB2312" w:cs="仿宋_GB2312"/>
          <w:b w:val="0"/>
          <w:bCs w:val="0"/>
          <w:spacing w:val="9"/>
          <w:position w:val="9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9"/>
          <w:sz w:val="32"/>
          <w:szCs w:val="32"/>
        </w:rPr>
        <w:t>，且不应大于</w:t>
      </w:r>
      <w:r>
        <w:rPr>
          <w:rFonts w:hint="eastAsia" w:ascii="仿宋_GB2312" w:hAnsi="仿宋_GB2312" w:eastAsia="仿宋_GB2312" w:cs="仿宋_GB2312"/>
          <w:b w:val="0"/>
          <w:bCs w:val="0"/>
          <w:spacing w:val="-16"/>
          <w:w w:val="96"/>
          <w:sz w:val="32"/>
          <w:szCs w:val="32"/>
        </w:rPr>
        <w:t>200m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position w:val="9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sz w:val="32"/>
          <w:szCs w:val="32"/>
        </w:rPr>
        <w:t>，专柜销售烟花爆竹的商店，总建筑面积不应大于300m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position w:val="9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12"/>
          <w:sz w:val="32"/>
          <w:szCs w:val="32"/>
        </w:rPr>
        <w:t>（零售经营者在申请许可证时，要制作零售店（点）平面图，标</w:t>
      </w:r>
      <w:r>
        <w:rPr>
          <w:rFonts w:hint="eastAsia" w:ascii="仿宋_GB2312" w:hAnsi="仿宋_GB2312" w:eastAsia="仿宋_GB2312" w:cs="仿宋_GB2312"/>
          <w:b w:val="0"/>
          <w:bCs w:val="0"/>
          <w:spacing w:val="5"/>
          <w:sz w:val="32"/>
          <w:szCs w:val="32"/>
        </w:rPr>
        <w:t>明零售店（点）内长、宽尺寸、零售店（点内面积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sz w:val="32"/>
          <w:szCs w:val="32"/>
        </w:rPr>
        <w:t>）。</w:t>
      </w:r>
    </w:p>
    <w:p w14:paraId="65A3D74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firstLine="688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2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pacing w:val="12"/>
          <w:sz w:val="32"/>
          <w:szCs w:val="32"/>
        </w:rPr>
        <w:t>、零售场所的电气线路不应有明接头；当采用普通电气设</w:t>
      </w:r>
      <w:r>
        <w:rPr>
          <w:rFonts w:hint="eastAsia" w:ascii="仿宋_GB2312" w:hAnsi="仿宋_GB2312" w:eastAsia="仿宋_GB2312" w:cs="仿宋_GB2312"/>
          <w:b w:val="0"/>
          <w:bCs w:val="0"/>
          <w:spacing w:val="9"/>
          <w:sz w:val="32"/>
          <w:szCs w:val="32"/>
        </w:rPr>
        <w:t>备时，应与烟花爆竹保持不小于1.2m的水平投影距离，且</w:t>
      </w: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</w:rPr>
        <w:t>不应</w:t>
      </w:r>
      <w:r>
        <w:rPr>
          <w:rFonts w:hint="eastAsia" w:ascii="仿宋_GB2312" w:hAnsi="仿宋_GB2312" w:eastAsia="仿宋_GB2312" w:cs="仿宋_GB2312"/>
          <w:b w:val="0"/>
          <w:bCs w:val="0"/>
          <w:spacing w:val="13"/>
          <w:sz w:val="32"/>
          <w:szCs w:val="32"/>
        </w:rPr>
        <w:t>使用白炽灯、射灯等容易产生高温的灯具。</w:t>
      </w:r>
    </w:p>
    <w:p w14:paraId="6CC95AC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firstLine="688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2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b w:val="0"/>
          <w:bCs w:val="0"/>
          <w:spacing w:val="12"/>
          <w:sz w:val="32"/>
          <w:szCs w:val="32"/>
        </w:rPr>
        <w:t>、零售场所要按照《烟花爆竹零售店（点）</w:t>
      </w:r>
      <w:r>
        <w:rPr>
          <w:rFonts w:hint="eastAsia" w:ascii="仿宋_GB2312" w:hAnsi="仿宋_GB2312" w:eastAsia="仿宋_GB2312" w:cs="仿宋_GB2312"/>
          <w:b w:val="0"/>
          <w:bCs w:val="0"/>
          <w:spacing w:val="11"/>
          <w:sz w:val="32"/>
          <w:szCs w:val="32"/>
        </w:rPr>
        <w:t>安全技术规范》</w:t>
      </w: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</w:rPr>
        <w:t>的规定张贴有明显的警示标志（警示内容：1、严禁烟火；2、禁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sz w:val="32"/>
          <w:szCs w:val="32"/>
        </w:rPr>
        <w:t>止吸烟；3、禁止燃放烟花爆竹；4、机动车辆装卸时必须熄火）、</w:t>
      </w:r>
      <w:r>
        <w:rPr>
          <w:rFonts w:hint="eastAsia" w:ascii="仿宋_GB2312" w:hAnsi="仿宋_GB2312" w:eastAsia="仿宋_GB2312" w:cs="仿宋_GB2312"/>
          <w:b w:val="0"/>
          <w:bCs w:val="0"/>
          <w:spacing w:val="11"/>
          <w:sz w:val="32"/>
          <w:szCs w:val="32"/>
        </w:rPr>
        <w:t>安全管理制度与操作规程，规范设置提示牌：“零售场所外30米范围内禁止燃放爆竹等地面类产品”“零售场所外80米范围内不应燃放组合烟花等升空类产品”。</w:t>
      </w:r>
    </w:p>
    <w:p w14:paraId="174B99A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76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1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9"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b w:val="0"/>
          <w:bCs w:val="0"/>
          <w:spacing w:val="9"/>
          <w:sz w:val="32"/>
          <w:szCs w:val="32"/>
        </w:rPr>
        <w:t>、与学校，医院，幼儿园，养老院，集贸市场，文物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sz w:val="32"/>
          <w:szCs w:val="32"/>
        </w:rPr>
        <w:t>博物馆，展览馆，档案馆，图书馆，危险品生产、</w:t>
      </w:r>
      <w:r>
        <w:rPr>
          <w:rFonts w:hint="eastAsia" w:ascii="仿宋_GB2312" w:hAnsi="仿宋_GB2312" w:eastAsia="仿宋_GB2312" w:cs="仿宋_GB2312"/>
          <w:b w:val="0"/>
          <w:bCs w:val="0"/>
          <w:spacing w:val="3"/>
          <w:sz w:val="32"/>
          <w:szCs w:val="32"/>
        </w:rPr>
        <w:t>储存及加油站、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sz w:val="32"/>
          <w:szCs w:val="32"/>
        </w:rPr>
        <w:t>加气站等易燃易爆场所保持100米以上的安全距离；周边80米</w:t>
      </w:r>
      <w:r>
        <w:rPr>
          <w:rFonts w:hint="eastAsia" w:ascii="仿宋_GB2312" w:hAnsi="仿宋_GB2312" w:eastAsia="仿宋_GB2312" w:cs="仿宋_GB2312"/>
          <w:b w:val="0"/>
          <w:bCs w:val="0"/>
          <w:spacing w:val="11"/>
          <w:sz w:val="32"/>
          <w:szCs w:val="32"/>
        </w:rPr>
        <w:t>范围内没有其他烟花爆竹零售点。</w:t>
      </w:r>
    </w:p>
    <w:p w14:paraId="26B3B21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84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1"/>
          <w:sz w:val="32"/>
          <w:szCs w:val="32"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</w:rPr>
        <w:t>、零售场所建筑物的耐火等级应符合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</w:t>
      </w: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</w:rPr>
        <w:t>5001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sz w:val="32"/>
          <w:szCs w:val="32"/>
        </w:rPr>
        <w:t>6的规定，且</w:t>
      </w:r>
      <w:r>
        <w:rPr>
          <w:rFonts w:hint="eastAsia" w:ascii="仿宋_GB2312" w:hAnsi="仿宋_GB2312" w:eastAsia="仿宋_GB2312" w:cs="仿宋_GB2312"/>
          <w:b w:val="0"/>
          <w:bCs w:val="0"/>
          <w:spacing w:val="11"/>
          <w:sz w:val="32"/>
          <w:szCs w:val="32"/>
        </w:rPr>
        <w:t>不应低于三级。当建筑物独立设置且与其他建筑物相距超过12</w:t>
      </w:r>
      <w:r>
        <w:rPr>
          <w:rFonts w:hint="eastAsia" w:ascii="仿宋_GB2312" w:hAnsi="仿宋_GB2312" w:eastAsia="仿宋_GB2312" w:cs="仿宋_GB2312"/>
          <w:b w:val="0"/>
          <w:bCs w:val="0"/>
          <w:spacing w:val="10"/>
          <w:sz w:val="32"/>
          <w:szCs w:val="32"/>
        </w:rPr>
        <w:t>米时，其耐火等级可为四级。</w:t>
      </w:r>
    </w:p>
    <w:p w14:paraId="593C48D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firstLine="688" w:firstLineChars="200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2"/>
          <w:sz w:val="32"/>
          <w:szCs w:val="32"/>
          <w:lang w:val="en-US" w:eastAsia="zh-CN"/>
        </w:rPr>
        <w:t>十一</w:t>
      </w:r>
      <w:r>
        <w:rPr>
          <w:rFonts w:hint="eastAsia" w:ascii="仿宋_GB2312" w:hAnsi="仿宋_GB2312" w:eastAsia="仿宋_GB2312" w:cs="仿宋_GB2312"/>
          <w:b w:val="0"/>
          <w:bCs w:val="0"/>
          <w:spacing w:val="12"/>
          <w:sz w:val="32"/>
          <w:szCs w:val="32"/>
        </w:rPr>
        <w:t>、安全出口应通畅。零售场所建筑面积不大于</w:t>
      </w:r>
      <w:r>
        <w:rPr>
          <w:rFonts w:hint="eastAsia" w:ascii="仿宋_GB2312" w:hAnsi="仿宋_GB2312" w:eastAsia="仿宋_GB2312" w:cs="仿宋_GB2312"/>
          <w:b w:val="0"/>
          <w:bCs w:val="0"/>
          <w:spacing w:val="11"/>
          <w:sz w:val="32"/>
          <w:szCs w:val="32"/>
        </w:rPr>
        <w:t>100平方米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sz w:val="32"/>
          <w:szCs w:val="32"/>
        </w:rPr>
        <w:t>时，可设1个安全出口；建筑面积大于100平方米时，安全出口</w:t>
      </w: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</w:rPr>
        <w:t>不应少于2个；店内任意一点至安全出口的距离不应大于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sz w:val="32"/>
          <w:szCs w:val="32"/>
        </w:rPr>
        <w:t>15米;</w:t>
      </w:r>
      <w:r>
        <w:rPr>
          <w:rFonts w:hint="eastAsia" w:ascii="仿宋_GB2312" w:hAnsi="仿宋_GB2312" w:eastAsia="仿宋_GB2312" w:cs="仿宋_GB2312"/>
          <w:b w:val="0"/>
          <w:bCs w:val="0"/>
          <w:spacing w:val="5"/>
          <w:sz w:val="32"/>
          <w:szCs w:val="32"/>
        </w:rPr>
        <w:t>顾客进出的门宽不应小于1.5米。</w:t>
      </w:r>
    </w:p>
    <w:p w14:paraId="74E3F8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 w14:paraId="15C4822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firstLine="640" w:firstLineChars="200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十二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、烟花爆竹经营（零售）场所应按照《烟花爆竹零售店（点）</w:t>
      </w: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</w:rPr>
        <w:t>安全技术规范》的规定配备必要的消防器材（1、必须配备5公</w:t>
      </w:r>
      <w:r>
        <w:rPr>
          <w:rFonts w:hint="eastAsia" w:ascii="仿宋_GB2312" w:hAnsi="仿宋_GB2312" w:eastAsia="仿宋_GB2312" w:cs="仿宋_GB2312"/>
          <w:b w:val="0"/>
          <w:bCs w:val="0"/>
          <w:spacing w:val="15"/>
          <w:sz w:val="32"/>
          <w:szCs w:val="32"/>
        </w:rPr>
        <w:t>斤及以上的磷酸铵盐灭火器，放置在便于取</w:t>
      </w:r>
      <w:r>
        <w:rPr>
          <w:rFonts w:hint="eastAsia" w:ascii="仿宋_GB2312" w:hAnsi="仿宋_GB2312" w:eastAsia="仿宋_GB2312" w:cs="仿宋_GB2312"/>
          <w:b w:val="0"/>
          <w:bCs w:val="0"/>
          <w:spacing w:val="14"/>
          <w:sz w:val="32"/>
          <w:szCs w:val="32"/>
        </w:rPr>
        <w:t>用位置；2、零售店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sz w:val="32"/>
          <w:szCs w:val="32"/>
        </w:rPr>
        <w:t>（点）面积不大于100m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position w:val="9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sz w:val="32"/>
          <w:szCs w:val="32"/>
        </w:rPr>
        <w:t>时，至少配备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2具灭火器，零售店（点）</w:t>
      </w:r>
      <w:r>
        <w:rPr>
          <w:rFonts w:hint="eastAsia" w:ascii="仿宋_GB2312" w:hAnsi="仿宋_GB2312" w:eastAsia="仿宋_GB2312" w:cs="仿宋_GB2312"/>
          <w:b w:val="0"/>
          <w:bCs w:val="0"/>
          <w:spacing w:val="-18"/>
          <w:sz w:val="32"/>
          <w:szCs w:val="32"/>
        </w:rPr>
        <w:t>面积不大于100m</w:t>
      </w:r>
      <w:r>
        <w:rPr>
          <w:rFonts w:hint="eastAsia" w:ascii="仿宋_GB2312" w:hAnsi="仿宋_GB2312" w:eastAsia="仿宋_GB2312" w:cs="仿宋_GB2312"/>
          <w:b w:val="0"/>
          <w:bCs w:val="0"/>
          <w:spacing w:val="-5"/>
          <w:position w:val="9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-5"/>
          <w:sz w:val="32"/>
          <w:szCs w:val="32"/>
        </w:rPr>
        <w:t>时，至少配备4具灭火器，并分为2个设置点）。</w:t>
      </w:r>
    </w:p>
    <w:p w14:paraId="0EE5868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firstLine="708" w:firstLineChars="200"/>
        <w:textAlignment w:val="baseline"/>
        <w:outlineLvl w:val="1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7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17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17"/>
          <w:sz w:val="32"/>
          <w:szCs w:val="32"/>
        </w:rPr>
        <w:t>、配备备用消防水桶和取用工具，备用消防水应便于取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sz w:val="32"/>
          <w:szCs w:val="32"/>
        </w:rPr>
        <w:t>用并不得少于200公斤。</w:t>
      </w:r>
    </w:p>
    <w:p w14:paraId="70B6E70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firstLine="700" w:firstLineChars="200"/>
        <w:textAlignment w:val="baseline"/>
        <w:outlineLvl w:val="1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5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15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pacing w:val="15"/>
          <w:sz w:val="32"/>
          <w:szCs w:val="32"/>
        </w:rPr>
        <w:t>、建立健全安全生产责任制和安全管理制度，签订安全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生产责任书。</w:t>
      </w:r>
    </w:p>
    <w:p w14:paraId="25F54EF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firstLine="700" w:firstLineChars="200"/>
        <w:textAlignment w:val="baseline"/>
        <w:outlineLvl w:val="1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5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15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pacing w:val="15"/>
          <w:sz w:val="32"/>
          <w:szCs w:val="32"/>
        </w:rPr>
        <w:t>、获得许可的各烟花爆竹经营（零售）单位应按要求购</w:t>
      </w: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</w:rPr>
        <w:t>买全员安全生产责任保险。</w:t>
      </w:r>
    </w:p>
    <w:p w14:paraId="364F9FF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firstLine="700" w:firstLineChars="200"/>
        <w:textAlignment w:val="baseline"/>
        <w:outlineLvl w:val="1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5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15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 w:val="0"/>
          <w:bCs w:val="0"/>
          <w:spacing w:val="15"/>
          <w:sz w:val="32"/>
          <w:szCs w:val="32"/>
        </w:rPr>
        <w:t>、烟花爆竹经营（零售）场所内不得有明火，不得设置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sz w:val="32"/>
          <w:szCs w:val="32"/>
        </w:rPr>
        <w:t>生活设施。</w:t>
      </w:r>
    </w:p>
    <w:p w14:paraId="5A0A7FD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firstLine="672" w:firstLineChars="200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十七</w:t>
      </w: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</w:rPr>
        <w:t>、不应设置在电压高于1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kv</w:t>
      </w: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</w:rPr>
        <w:t>的电力线路下方，与220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k</w:t>
      </w:r>
      <w:r>
        <w:rPr>
          <w:rFonts w:hint="eastAsia" w:ascii="仿宋_GB2312" w:hAnsi="仿宋_GB2312" w:eastAsia="仿宋_GB2312" w:cs="仿宋_GB2312"/>
          <w:b w:val="0"/>
          <w:bCs w:val="0"/>
          <w:spacing w:val="22"/>
          <w:sz w:val="32"/>
          <w:szCs w:val="32"/>
        </w:rPr>
        <w:t>及以上的区域变电站围墙和架空输电线路的最近距离不得小于</w:t>
      </w:r>
      <w:r>
        <w:rPr>
          <w:rFonts w:hint="eastAsia" w:ascii="仿宋_GB2312" w:hAnsi="仿宋_GB2312" w:eastAsia="仿宋_GB2312" w:cs="仿宋_GB2312"/>
          <w:b w:val="0"/>
          <w:bCs w:val="0"/>
          <w:spacing w:val="-12"/>
          <w:sz w:val="32"/>
          <w:szCs w:val="32"/>
        </w:rPr>
        <w:t>70米。</w:t>
      </w:r>
    </w:p>
    <w:p w14:paraId="05C4A4F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firstLine="700" w:firstLineChars="200"/>
        <w:textAlignment w:val="baseline"/>
        <w:outlineLvl w:val="1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5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15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b w:val="0"/>
          <w:bCs w:val="0"/>
          <w:spacing w:val="15"/>
          <w:sz w:val="32"/>
          <w:szCs w:val="32"/>
        </w:rPr>
        <w:t>、应选择在消防车辆可以顺畅到达的区域，且不应设置</w:t>
      </w:r>
      <w:r>
        <w:rPr>
          <w:rFonts w:hint="eastAsia" w:ascii="仿宋_GB2312" w:hAnsi="仿宋_GB2312" w:eastAsia="仿宋_GB2312" w:cs="仿宋_GB2312"/>
          <w:b w:val="0"/>
          <w:bCs w:val="0"/>
          <w:spacing w:val="5"/>
          <w:sz w:val="32"/>
          <w:szCs w:val="32"/>
        </w:rPr>
        <w:t>在居民集中居住小区内，以及桥下和涵洞内。</w:t>
      </w:r>
    </w:p>
    <w:p w14:paraId="2B029C1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firstLine="700" w:firstLineChars="200"/>
        <w:textAlignment w:val="baseline"/>
        <w:outlineLvl w:val="1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5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15"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b w:val="0"/>
          <w:bCs w:val="0"/>
          <w:spacing w:val="15"/>
          <w:sz w:val="32"/>
          <w:szCs w:val="32"/>
        </w:rPr>
        <w:t>、制定火灾、爆炸、触电等事故现场处置方案，明确应</w:t>
      </w:r>
      <w:r>
        <w:rPr>
          <w:rFonts w:hint="eastAsia" w:ascii="仿宋_GB2312" w:hAnsi="仿宋_GB2312" w:eastAsia="仿宋_GB2312" w:cs="仿宋_GB2312"/>
          <w:b w:val="0"/>
          <w:bCs w:val="0"/>
          <w:spacing w:val="12"/>
          <w:sz w:val="32"/>
          <w:szCs w:val="32"/>
        </w:rPr>
        <w:t>急处置工作职责、处置措施和注意事项，并组织桌面演练。</w:t>
      </w:r>
    </w:p>
    <w:p w14:paraId="7557828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firstLine="668" w:firstLineChars="200"/>
        <w:textAlignment w:val="baseline"/>
        <w:outlineLvl w:val="1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pacing w:val="7"/>
          <w:sz w:val="32"/>
          <w:szCs w:val="32"/>
          <w:lang w:val="en-US" w:eastAsia="zh-CN"/>
        </w:rPr>
        <w:t>二十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sz w:val="32"/>
          <w:szCs w:val="32"/>
        </w:rPr>
        <w:t>、烟花爆竹零售经营场所选址周边50米范围内居民、企</w:t>
      </w:r>
      <w:r>
        <w:rPr>
          <w:rFonts w:hint="eastAsia" w:ascii="仿宋_GB2312" w:hAnsi="仿宋_GB2312" w:eastAsia="仿宋_GB2312" w:cs="仿宋_GB2312"/>
          <w:b w:val="0"/>
          <w:bCs w:val="0"/>
          <w:spacing w:val="8"/>
          <w:sz w:val="32"/>
          <w:szCs w:val="32"/>
        </w:rPr>
        <w:t>事业单位无反对意见。</w:t>
      </w:r>
    </w:p>
    <w:p w14:paraId="3CB7738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firstLine="712" w:firstLineChars="200"/>
        <w:textAlignment w:val="baseline"/>
        <w:outlineLvl w:val="1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8"/>
          <w:sz w:val="32"/>
          <w:szCs w:val="32"/>
          <w:lang w:val="en-US" w:eastAsia="zh-CN"/>
        </w:rPr>
        <w:t>二十一</w:t>
      </w:r>
      <w:r>
        <w:rPr>
          <w:rFonts w:hint="eastAsia" w:ascii="仿宋_GB2312" w:hAnsi="仿宋_GB2312" w:eastAsia="仿宋_GB2312" w:cs="仿宋_GB2312"/>
          <w:b w:val="0"/>
          <w:bCs w:val="0"/>
          <w:spacing w:val="18"/>
          <w:sz w:val="32"/>
          <w:szCs w:val="32"/>
        </w:rPr>
        <w:t>、国家烟花爆竹相关法律法规、国家标准规定的其它安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sz w:val="32"/>
          <w:szCs w:val="32"/>
        </w:rPr>
        <w:t>全条件。</w:t>
      </w:r>
    </w:p>
    <w:p w14:paraId="57A5118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firstLine="640" w:firstLineChars="200"/>
        <w:textAlignment w:val="baseline"/>
        <w:outlineLvl w:val="1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二十二、从事烟花爆竹零售的经营者，应当向合法有资质从事烟花爆竹批发的企业采购烟花爆竹，并签订购销合同。</w:t>
      </w:r>
    </w:p>
    <w:sectPr>
      <w:footerReference r:id="rId5" w:type="default"/>
      <w:pgSz w:w="11907" w:h="16839"/>
      <w:pgMar w:top="1431" w:right="1541" w:bottom="1415" w:left="1547" w:header="0" w:footer="1136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F7465">
    <w:pPr>
      <w:pStyle w:val="2"/>
      <w:spacing w:before="1" w:line="177" w:lineRule="auto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14FF3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14FF3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C876AE3"/>
    <w:rsid w:val="1E6369E6"/>
    <w:rsid w:val="36635C3C"/>
    <w:rsid w:val="3CE93BEF"/>
    <w:rsid w:val="43386DF5"/>
    <w:rsid w:val="50EA54E8"/>
    <w:rsid w:val="5E925F91"/>
    <w:rsid w:val="61ED54ED"/>
    <w:rsid w:val="6611537B"/>
    <w:rsid w:val="6FA15959"/>
    <w:rsid w:val="7C4C12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Plain Text1"/>
    <w:basedOn w:val="9"/>
    <w:qFormat/>
    <w:uiPriority w:val="0"/>
    <w:pPr>
      <w:widowControl w:val="0"/>
      <w:jc w:val="both"/>
    </w:pPr>
    <w:rPr>
      <w:rFonts w:ascii="宋体" w:hAnsi="Courier New" w:eastAsia="仿宋" w:cs="Times New Roman"/>
      <w:kern w:val="2"/>
      <w:sz w:val="32"/>
      <w:szCs w:val="21"/>
      <w:lang w:val="en-US" w:eastAsia="zh-CN" w:bidi="ar-SA"/>
    </w:rPr>
  </w:style>
  <w:style w:type="paragraph" w:customStyle="1" w:styleId="9">
    <w:name w:val="正文 New"/>
    <w:next w:val="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1548</Words>
  <Characters>1604</Characters>
  <TotalTime>6</TotalTime>
  <ScaleCrop>false</ScaleCrop>
  <LinksUpToDate>false</LinksUpToDate>
  <CharactersWithSpaces>1605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2024-12-28T18:24:00Z</dcterms:created>
  <dc:creator>xunxing gd</dc:creator>
  <cp:lastModifiedBy>九离.</cp:lastModifiedBy>
  <dcterms:modified xsi:type="dcterms:W3CDTF">2024-12-31T03:47:26Z</dcterms:modified>
  <dc:title>s”Z}F0_x0002_2025t¦ß±_x0006_ùÏ%_x0008_ö.	¸ïå\—ˆå_x0008_†B_x000F_Á?	(1).docx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2024-12-28T18:26:16Z</vt:filetime>
  </property>
  <property fmtid="{D5CDD505-2E9C-101B-9397-08002B2CF9AE}" pid="4" name="KSOTemplateDocerSaveRecord">
    <vt:lpwstr>eyJoZGlkIjoiYzFhZjAwNzcxZDJmZjg4MDM5NGZmNDY5NDcyZWFkZGEiLCJ1c2VySWQiOiI1NTc5NDA4MTkifQ==</vt:lpwstr>
  </property>
  <property fmtid="{D5CDD505-2E9C-101B-9397-08002B2CF9AE}" pid="5" name="KSOProductBuildVer">
    <vt:lpwstr>2052-12.1.0.19302</vt:lpwstr>
  </property>
  <property fmtid="{D5CDD505-2E9C-101B-9397-08002B2CF9AE}" pid="6" name="ICV">
    <vt:lpwstr>3786AA93284E45199B0124704B4C62EB_13</vt:lpwstr>
  </property>
</Properties>
</file>